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jc w:val="left"/>
        <w:rPr>
          <w:rFonts w:ascii="Times New Roman" w:hAnsi="Times New Roman" w:eastAsia="黑体" w:cs="Times New Roman"/>
          <w:bCs/>
          <w:sz w:val="32"/>
          <w:szCs w:val="32"/>
        </w:rPr>
      </w:pPr>
      <w:r>
        <w:rPr>
          <w:rFonts w:ascii="Times New Roman" w:hAnsi="黑体" w:eastAsia="黑体" w:cs="Times New Roman"/>
          <w:bCs/>
          <w:sz w:val="32"/>
          <w:szCs w:val="32"/>
        </w:rPr>
        <w:t>附件：</w:t>
      </w:r>
    </w:p>
    <w:p>
      <w:pPr>
        <w:spacing w:line="360" w:lineRule="auto"/>
        <w:jc w:val="both"/>
        <w:rPr>
          <w:rFonts w:hint="eastAsia" w:ascii="方正小标宋_GBK" w:hAnsi="黑体" w:eastAsia="方正小标宋_GBK"/>
          <w:sz w:val="36"/>
          <w:szCs w:val="36"/>
        </w:rPr>
      </w:pPr>
    </w:p>
    <w:p>
      <w:pPr>
        <w:spacing w:line="360" w:lineRule="auto"/>
        <w:jc w:val="both"/>
        <w:rPr>
          <w:rFonts w:ascii="方正小标宋_GBK" w:hAnsi="黑体" w:eastAsia="方正小标宋_GBK"/>
          <w:sz w:val="36"/>
          <w:szCs w:val="36"/>
        </w:rPr>
      </w:pPr>
      <w:bookmarkStart w:id="0" w:name="_GoBack"/>
      <w:r>
        <w:rPr>
          <w:rFonts w:hint="eastAsia" w:ascii="方正小标宋_GBK" w:hAnsi="黑体" w:eastAsia="方正小标宋_GBK"/>
          <w:sz w:val="36"/>
          <w:szCs w:val="36"/>
        </w:rPr>
        <w:t>20</w:t>
      </w:r>
      <w:r>
        <w:rPr>
          <w:rFonts w:ascii="方正小标宋_GBK" w:hAnsi="黑体" w:eastAsia="方正小标宋_GBK"/>
          <w:sz w:val="36"/>
          <w:szCs w:val="36"/>
        </w:rPr>
        <w:t>20</w:t>
      </w:r>
      <w:r>
        <w:rPr>
          <w:rFonts w:hint="eastAsia" w:ascii="方正小标宋_GBK" w:hAnsi="黑体" w:eastAsia="方正小标宋_GBK"/>
          <w:sz w:val="36"/>
          <w:szCs w:val="36"/>
        </w:rPr>
        <w:t>年国家技术发明奖项目提名公示内容</w:t>
      </w:r>
    </w:p>
    <w:bookmarkEnd w:id="0"/>
    <w:p>
      <w:pPr>
        <w:spacing w:line="360" w:lineRule="auto"/>
        <w:jc w:val="center"/>
        <w:rPr>
          <w:rFonts w:ascii="方正小标宋_GBK" w:hAnsi="黑体" w:eastAsia="方正小标宋_GBK"/>
          <w:sz w:val="32"/>
          <w:szCs w:val="32"/>
        </w:rPr>
      </w:pPr>
    </w:p>
    <w:p>
      <w:pPr>
        <w:spacing w:line="360" w:lineRule="auto"/>
        <w:rPr>
          <w:sz w:val="28"/>
          <w:szCs w:val="28"/>
        </w:rPr>
      </w:pPr>
      <w:r>
        <w:rPr>
          <w:rFonts w:hint="eastAsia" w:ascii="黑体" w:hAnsi="黑体" w:eastAsia="黑体"/>
          <w:sz w:val="28"/>
          <w:szCs w:val="28"/>
        </w:rPr>
        <w:t>一、项目</w:t>
      </w:r>
      <w:r>
        <w:rPr>
          <w:rFonts w:ascii="黑体" w:hAnsi="黑体" w:eastAsia="黑体"/>
          <w:sz w:val="28"/>
          <w:szCs w:val="28"/>
        </w:rPr>
        <w:t>名称：</w:t>
      </w:r>
      <w:r>
        <w:rPr>
          <w:rFonts w:hint="eastAsia" w:ascii="黑体" w:hAnsi="黑体" w:eastAsia="黑体"/>
          <w:sz w:val="28"/>
          <w:szCs w:val="28"/>
        </w:rPr>
        <w:t>森林植被碳汇计量关键技术及管理平台研发</w:t>
      </w:r>
    </w:p>
    <w:p>
      <w:pPr>
        <w:spacing w:line="360" w:lineRule="auto"/>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提名单位：</w:t>
      </w:r>
      <w:r>
        <w:rPr>
          <w:rFonts w:ascii="宋体" w:hAnsi="宋体"/>
          <w:sz w:val="28"/>
          <w:szCs w:val="28"/>
        </w:rPr>
        <w:t>北京市</w:t>
      </w:r>
    </w:p>
    <w:p>
      <w:pPr>
        <w:spacing w:line="360" w:lineRule="auto"/>
        <w:rPr>
          <w:rFonts w:ascii="黑体" w:hAnsi="黑体" w:eastAsia="黑体"/>
          <w:sz w:val="28"/>
          <w:szCs w:val="28"/>
        </w:rPr>
      </w:pPr>
      <w:r>
        <w:rPr>
          <w:rFonts w:hint="eastAsia" w:ascii="黑体" w:hAnsi="黑体" w:eastAsia="黑体"/>
          <w:sz w:val="28"/>
          <w:szCs w:val="28"/>
        </w:rPr>
        <w:t>三、提名等级：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提名</w:t>
      </w:r>
      <w:r>
        <w:rPr>
          <w:rFonts w:asciiTheme="minorEastAsia" w:hAnsiTheme="minorEastAsia" w:eastAsiaTheme="minorEastAsia"/>
          <w:sz w:val="24"/>
          <w:szCs w:val="24"/>
        </w:rPr>
        <w:t>该项目为国家技术发明奖</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二</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等奖</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和标准</w:t>
      </w:r>
      <w:r>
        <w:rPr>
          <w:rFonts w:ascii="宋体" w:hAnsi="宋体"/>
          <w:b/>
          <w:color w:val="000000" w:themeColor="text1"/>
          <w:sz w:val="28"/>
          <w14:textFill>
            <w14:solidFill>
              <w14:schemeClr w14:val="tx1"/>
            </w14:solidFill>
          </w14:textFill>
        </w:rPr>
        <w:t>规范</w:t>
      </w:r>
      <w:r>
        <w:rPr>
          <w:rFonts w:hint="eastAsia" w:ascii="宋体" w:hAnsi="宋体"/>
          <w:b/>
          <w:color w:val="000000" w:themeColor="text1"/>
          <w:sz w:val="28"/>
          <w14:textFill>
            <w14:solidFill>
              <w14:schemeClr w14:val="tx1"/>
            </w14:solidFill>
          </w14:textFill>
        </w:rPr>
        <w:t>等</w:t>
      </w:r>
      <w:r>
        <w:rPr>
          <w:rFonts w:ascii="宋体" w:hAnsi="宋体"/>
          <w:b/>
          <w:color w:val="000000" w:themeColor="text1"/>
          <w:sz w:val="28"/>
          <w14:textFill>
            <w14:solidFill>
              <w14:schemeClr w14:val="tx1"/>
            </w14:solidFill>
          </w14:textFill>
        </w:rPr>
        <w:t>目录</w:t>
      </w:r>
      <w:r>
        <w:rPr>
          <w:rFonts w:hint="eastAsia" w:ascii="宋体" w:hAnsi="宋体"/>
          <w:b/>
          <w:color w:val="000000" w:themeColor="text1"/>
          <w:sz w:val="28"/>
          <w14:textFill>
            <w14:solidFill>
              <w14:schemeClr w14:val="tx1"/>
            </w14:solidFill>
          </w14:textFill>
        </w:rPr>
        <w:t>（不超过10件）：</w:t>
      </w:r>
    </w:p>
    <w:tbl>
      <w:tblPr>
        <w:tblStyle w:val="4"/>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56"/>
        <w:gridCol w:w="926"/>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知识产权（标准）类别</w:t>
            </w:r>
          </w:p>
        </w:tc>
        <w:tc>
          <w:tcPr>
            <w:tcW w:w="1356"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知识产权（标准）具体名称</w:t>
            </w:r>
          </w:p>
        </w:tc>
        <w:tc>
          <w:tcPr>
            <w:tcW w:w="926"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国家</w:t>
            </w:r>
          </w:p>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（地区）</w:t>
            </w:r>
          </w:p>
        </w:tc>
        <w:tc>
          <w:tcPr>
            <w:tcW w:w="849"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授权号（标准编号）</w:t>
            </w:r>
          </w:p>
        </w:tc>
        <w:tc>
          <w:tcPr>
            <w:tcW w:w="992"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授权（标准发布）日期</w:t>
            </w:r>
          </w:p>
        </w:tc>
        <w:tc>
          <w:tcPr>
            <w:tcW w:w="1134"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证书编号</w:t>
            </w:r>
            <w:r>
              <w:rPr>
                <w:rFonts w:ascii="Times New Roman"/>
                <w:color w:val="000000" w:themeColor="text1"/>
                <w:sz w:val="21"/>
                <w:szCs w:val="21"/>
                <w14:textFill>
                  <w14:solidFill>
                    <w14:schemeClr w14:val="tx1"/>
                  </w14:solidFill>
                </w14:textFill>
              </w:rPr>
              <w:br w:type="textWrapping"/>
            </w:r>
            <w:r>
              <w:rPr>
                <w:rFonts w:ascii="Times New Roman"/>
                <w:color w:val="000000" w:themeColor="text1"/>
                <w:sz w:val="21"/>
                <w:szCs w:val="21"/>
                <w14:textFill>
                  <w14:solidFill>
                    <w14:schemeClr w14:val="tx1"/>
                  </w14:solidFill>
                </w14:textFill>
              </w:rPr>
              <w:t>（标准批准发布部门）</w:t>
            </w:r>
          </w:p>
        </w:tc>
        <w:tc>
          <w:tcPr>
            <w:tcW w:w="850"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权利人（标准起草单位）</w:t>
            </w:r>
          </w:p>
        </w:tc>
        <w:tc>
          <w:tcPr>
            <w:tcW w:w="851"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发明人（标准起草人）</w:t>
            </w:r>
          </w:p>
        </w:tc>
        <w:tc>
          <w:tcPr>
            <w:tcW w:w="1183" w:type="dxa"/>
            <w:vAlign w:val="center"/>
          </w:tcPr>
          <w:p>
            <w:pPr>
              <w:pStyle w:val="2"/>
              <w:spacing w:line="390" w:lineRule="exact"/>
              <w:ind w:firstLine="0" w:firstLineChars="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一种可避障无人机林冠下倾斜摄影测 算森林样地因子的 方法</w:t>
            </w:r>
          </w:p>
        </w:tc>
        <w:tc>
          <w:tcPr>
            <w:tcW w:w="92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ZL2017101623 39.5</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2019年 08月06日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 3482 157 号</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冯仲科，刘金 成，孙仁杰 ，陈紫璇</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论文</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sz w:val="21"/>
                <w:szCs w:val="21"/>
              </w:rPr>
              <w:t>Key Technologies of Forest Resource Examination System Development in China</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https://doi.org/10.1016/j.eng.2019.07.022</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2019年08月23日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E</w:t>
            </w:r>
            <w:r>
              <w:rPr>
                <w:rFonts w:hint="eastAsia" w:ascii="Times New Roman"/>
                <w:color w:val="000000" w:themeColor="text1"/>
                <w:sz w:val="21"/>
                <w:szCs w:val="21"/>
                <w14:textFill>
                  <w14:solidFill>
                    <w14:schemeClr w14:val="tx1"/>
                  </w14:solidFill>
                </w14:textFill>
              </w:rPr>
              <w:t>n</w:t>
            </w:r>
            <w:r>
              <w:rPr>
                <w:rFonts w:ascii="Times New Roman"/>
                <w:color w:val="000000" w:themeColor="text1"/>
                <w:sz w:val="21"/>
                <w:szCs w:val="21"/>
                <w14:textFill>
                  <w14:solidFill>
                    <w14:schemeClr w14:val="tx1"/>
                  </w14:solidFill>
                </w14:textFill>
              </w:rPr>
              <w:t>gineering</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赵修莉，冯仲科等</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一种树干任意点形状指数的测定方法</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ZL201510500533.0</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2017年08月25日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第2580882号</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冯仲科，孙素芬，蒋君志伟，高祥，刘明艳，孙梦营</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一种确定森林生长模型的方法</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ZL201510653762.6</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2019年03月19日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第3300487号</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冯仲科，于东海，邱梓轩</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一种森林最优择伐模型的方法</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ZL201510653764.5</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2019年03月19日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第3300488号</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冯仲科，于东海，邱梓轩</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一种成熟林密度混交度最优经营配置的方法</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ZL201510602532.7</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2019年01月22日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第3225467号</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冯仲科，邱梓轩</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牵发式不同深度湖泊水质研究取样器</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ZL201510418564.1</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2017年09月22日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第2634541号</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哈尔滨师范大学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臧淑英，林越，王晓迪，肖海峰，孙华杰，解瑞峰，谢桂林</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论文</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Carbon sequestration potential of forest vegetation in China from 2003 to 2050: Predicting forest vegetation growth based on climate and the environment</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https://doi.org/10.1016/j.jclepro.2019.119715</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2019年12月13日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Journal of Cleaner Production</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邱梓轩，冯仲科等</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论文</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Refinement of Landslide Susceptibility Map Using Persistent Scatterer Interferometry in Areas of Intense Mining Activities in the Karst Region of Southwest China</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https://doi.org/10.3390/rs11232821</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2019年11月28日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Remote Sensing</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北京林业大学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申朝永，冯仲科等</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论文</w:t>
            </w:r>
          </w:p>
        </w:tc>
        <w:tc>
          <w:tcPr>
            <w:tcW w:w="1356"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Remote Sensing of Soil Alkalinity and Salinity in the Wuyu’er-Shuangyang River Basin, Northeast China</w:t>
            </w:r>
          </w:p>
        </w:tc>
        <w:tc>
          <w:tcPr>
            <w:tcW w:w="926" w:type="dxa"/>
          </w:tcPr>
          <w:p>
            <w:r>
              <w:rPr>
                <w:color w:val="000000" w:themeColor="text1"/>
                <w:szCs w:val="21"/>
                <w14:textFill>
                  <w14:solidFill>
                    <w14:schemeClr w14:val="tx1"/>
                  </w14:solidFill>
                </w14:textFill>
              </w:rPr>
              <w:t>中国</w:t>
            </w:r>
          </w:p>
        </w:tc>
        <w:tc>
          <w:tcPr>
            <w:tcW w:w="849"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https://doi.org/10.3390/rs8020163</w:t>
            </w:r>
          </w:p>
        </w:tc>
        <w:tc>
          <w:tcPr>
            <w:tcW w:w="992"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2016年06月20日</w:t>
            </w:r>
          </w:p>
        </w:tc>
        <w:tc>
          <w:tcPr>
            <w:tcW w:w="1134"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Remote Sensing</w:t>
            </w:r>
          </w:p>
        </w:tc>
        <w:tc>
          <w:tcPr>
            <w:tcW w:w="850"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哈尔滨师范大学</w:t>
            </w:r>
          </w:p>
        </w:tc>
        <w:tc>
          <w:tcPr>
            <w:tcW w:w="851"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臧淑英等</w:t>
            </w:r>
          </w:p>
        </w:tc>
        <w:tc>
          <w:tcPr>
            <w:tcW w:w="1183" w:type="dxa"/>
          </w:tcPr>
          <w:p>
            <w:pPr>
              <w:pStyle w:val="2"/>
              <w:spacing w:line="39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其他有效的知识产权</w:t>
            </w:r>
          </w:p>
        </w:tc>
      </w:tr>
    </w:tbl>
    <w:p>
      <w:pPr>
        <w:pStyle w:val="2"/>
        <w:adjustRightInd w:val="0"/>
        <w:spacing w:line="320" w:lineRule="exact"/>
        <w:ind w:firstLine="488"/>
        <w:rPr>
          <w:rFonts w:ascii="宋体" w:hAnsi="宋体"/>
          <w:color w:val="000000" w:themeColor="text1"/>
          <w:spacing w:val="2"/>
          <w14:textFill>
            <w14:solidFill>
              <w14:schemeClr w14:val="tx1"/>
            </w14:solidFill>
          </w14:textFill>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center"/>
        <w:rPr>
          <w:rFonts w:ascii="黑体" w:hAnsi="黑体" w:eastAsia="黑体"/>
          <w:sz w:val="28"/>
          <w:szCs w:val="28"/>
        </w:rPr>
      </w:pPr>
      <w:r>
        <w:rPr>
          <w:rFonts w:hint="eastAsia" w:ascii="黑体" w:hAnsi="黑体" w:eastAsia="黑体"/>
          <w:sz w:val="28"/>
          <w:szCs w:val="28"/>
        </w:rPr>
        <w:t>五、主要完成人情况（一、二等奖不超过6人）：</w:t>
      </w:r>
    </w:p>
    <w:tbl>
      <w:tblPr>
        <w:tblStyle w:val="4"/>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3969"/>
        <w:gridCol w:w="3047"/>
        <w:gridCol w:w="3048"/>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排序</w:t>
            </w:r>
          </w:p>
        </w:tc>
        <w:tc>
          <w:tcPr>
            <w:tcW w:w="992" w:type="dxa"/>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姓名</w:t>
            </w:r>
          </w:p>
        </w:tc>
        <w:tc>
          <w:tcPr>
            <w:tcW w:w="3969" w:type="dxa"/>
            <w:shd w:val="clear" w:color="auto" w:fill="auto"/>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对本项目</w:t>
            </w:r>
            <w:r>
              <w:rPr>
                <w:rFonts w:ascii="仿宋" w:hAnsi="仿宋" w:eastAsia="仿宋"/>
                <w:b/>
                <w:bCs/>
                <w:color w:val="000000"/>
                <w:kern w:val="0"/>
                <w:sz w:val="22"/>
                <w:szCs w:val="22"/>
              </w:rPr>
              <w:t>主要技术发明的贡献</w:t>
            </w:r>
          </w:p>
        </w:tc>
        <w:tc>
          <w:tcPr>
            <w:tcW w:w="3047" w:type="dxa"/>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工作单位</w:t>
            </w:r>
          </w:p>
        </w:tc>
        <w:tc>
          <w:tcPr>
            <w:tcW w:w="3048" w:type="dxa"/>
            <w:vAlign w:val="center"/>
          </w:tcPr>
          <w:p>
            <w:pPr>
              <w:widowControl/>
              <w:jc w:val="center"/>
              <w:rPr>
                <w:rFonts w:ascii="仿宋" w:hAnsi="仿宋" w:eastAsia="仿宋"/>
                <w:b/>
                <w:bCs/>
                <w:color w:val="000000"/>
                <w:kern w:val="0"/>
                <w:sz w:val="22"/>
                <w:szCs w:val="22"/>
              </w:rPr>
            </w:pPr>
            <w:r>
              <w:rPr>
                <w:rFonts w:hint="eastAsia" w:ascii="仿宋" w:hAnsi="仿宋" w:eastAsia="仿宋"/>
                <w:b/>
                <w:bCs/>
                <w:kern w:val="0"/>
                <w:sz w:val="22"/>
                <w:szCs w:val="22"/>
              </w:rPr>
              <w:t>完成单位</w:t>
            </w:r>
          </w:p>
        </w:tc>
        <w:tc>
          <w:tcPr>
            <w:tcW w:w="992" w:type="dxa"/>
            <w:vAlign w:val="center"/>
          </w:tcPr>
          <w:p>
            <w:pPr>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职称</w:t>
            </w:r>
          </w:p>
        </w:tc>
        <w:tc>
          <w:tcPr>
            <w:tcW w:w="993" w:type="dxa"/>
            <w:vAlign w:val="center"/>
          </w:tcPr>
          <w:p>
            <w:pPr>
              <w:widowControl/>
              <w:spacing w:line="360" w:lineRule="auto"/>
              <w:ind w:firstLine="110" w:firstLineChars="50"/>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1</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冯仲科</w:t>
            </w:r>
          </w:p>
        </w:tc>
        <w:tc>
          <w:tcPr>
            <w:tcW w:w="3969"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color w:val="000000" w:themeColor="text1"/>
                <w14:textFill>
                  <w14:solidFill>
                    <w14:schemeClr w14:val="tx1"/>
                  </w14:solidFill>
                </w14:textFill>
              </w:rPr>
              <w:t>项目总负责人，全面协调项目的进行，对项目的主要技术发明点1、2、3都做出了突出贡献，</w:t>
            </w:r>
            <w:r>
              <w:rPr>
                <w:rFonts w:hint="eastAsia" w:ascii="仿宋" w:hAnsi="仿宋" w:eastAsia="仿宋"/>
              </w:rPr>
              <w:t>制定了项目的总体研究思路和技术路线，负责项目总体方案设计，技术方案决策与组织实施。提出项目研究所需解决的关键技术，全面掌握项目实施动态，及时指导改进研究工作。</w:t>
            </w:r>
          </w:p>
        </w:tc>
        <w:tc>
          <w:tcPr>
            <w:tcW w:w="3047"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北京林业大学</w:t>
            </w:r>
          </w:p>
        </w:tc>
        <w:tc>
          <w:tcPr>
            <w:tcW w:w="3048" w:type="dxa"/>
            <w:vAlign w:val="center"/>
          </w:tcPr>
          <w:p>
            <w:pPr>
              <w:widowControl/>
              <w:jc w:val="center"/>
              <w:rPr>
                <w:rFonts w:ascii="仿宋" w:hAnsi="仿宋" w:eastAsia="仿宋"/>
                <w:bCs/>
                <w:kern w:val="0"/>
                <w:sz w:val="22"/>
                <w:szCs w:val="22"/>
              </w:rPr>
            </w:pPr>
            <w:r>
              <w:rPr>
                <w:rFonts w:hint="eastAsia" w:ascii="仿宋" w:hAnsi="仿宋" w:eastAsia="仿宋"/>
                <w:bCs/>
                <w:kern w:val="0"/>
                <w:sz w:val="22"/>
                <w:szCs w:val="22"/>
              </w:rPr>
              <w:t>北京林业大学</w:t>
            </w:r>
          </w:p>
        </w:tc>
        <w:tc>
          <w:tcPr>
            <w:tcW w:w="992"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教授</w:t>
            </w:r>
          </w:p>
        </w:tc>
        <w:tc>
          <w:tcPr>
            <w:tcW w:w="993"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2</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孙素芬</w:t>
            </w:r>
          </w:p>
        </w:tc>
        <w:tc>
          <w:tcPr>
            <w:tcW w:w="3969"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color w:val="000000" w:themeColor="text1"/>
                <w14:textFill>
                  <w14:solidFill>
                    <w14:schemeClr w14:val="tx1"/>
                  </w14:solidFill>
                </w14:textFill>
              </w:rPr>
              <w:t>项目主要参与人，负责项目的组织实施及成果推广应用，对发明点1、3、4贡献突出，针对碳汇量计测技术体系、观测仪器、模型研建、信息化平台提出需解决的关键技术，组建农林领域服务专家团队，将项目研究成果在4</w:t>
            </w:r>
            <w:r>
              <w:rPr>
                <w:rFonts w:ascii="仿宋" w:hAnsi="仿宋" w:eastAsia="仿宋"/>
                <w:color w:val="000000" w:themeColor="text1"/>
                <w14:textFill>
                  <w14:solidFill>
                    <w14:schemeClr w14:val="tx1"/>
                  </w14:solidFill>
                </w14:textFill>
              </w:rPr>
              <w:t>000</w:t>
            </w:r>
            <w:r>
              <w:rPr>
                <w:rFonts w:hint="eastAsia" w:ascii="仿宋" w:hAnsi="仿宋" w:eastAsia="仿宋"/>
                <w:color w:val="000000" w:themeColor="text1"/>
                <w14:textFill>
                  <w14:solidFill>
                    <w14:schemeClr w14:val="tx1"/>
                  </w14:solidFill>
                </w14:textFill>
              </w:rPr>
              <w:t>多个北京村及社区、全国3</w:t>
            </w:r>
            <w:r>
              <w:rPr>
                <w:rFonts w:ascii="仿宋" w:hAnsi="仿宋" w:eastAsia="仿宋"/>
                <w:color w:val="000000" w:themeColor="text1"/>
                <w14:textFill>
                  <w14:solidFill>
                    <w14:schemeClr w14:val="tx1"/>
                  </w14:solidFill>
                </w14:textFill>
              </w:rPr>
              <w:t>0</w:t>
            </w:r>
            <w:r>
              <w:rPr>
                <w:rFonts w:hint="eastAsia" w:ascii="仿宋" w:hAnsi="仿宋" w:eastAsia="仿宋"/>
                <w:color w:val="000000" w:themeColor="text1"/>
                <w14:textFill>
                  <w14:solidFill>
                    <w14:schemeClr w14:val="tx1"/>
                  </w14:solidFill>
                </w14:textFill>
              </w:rPr>
              <w:t>多个省市自治区广泛推广应用，社会效益显著。</w:t>
            </w:r>
          </w:p>
        </w:tc>
        <w:tc>
          <w:tcPr>
            <w:tcW w:w="3047"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北京市农林科学院</w:t>
            </w:r>
          </w:p>
        </w:tc>
        <w:tc>
          <w:tcPr>
            <w:tcW w:w="3048" w:type="dxa"/>
            <w:vAlign w:val="center"/>
          </w:tcPr>
          <w:p>
            <w:pPr>
              <w:widowControl/>
              <w:jc w:val="center"/>
              <w:rPr>
                <w:rFonts w:ascii="仿宋" w:hAnsi="仿宋" w:eastAsia="仿宋"/>
                <w:bCs/>
                <w:kern w:val="0"/>
                <w:sz w:val="22"/>
                <w:szCs w:val="22"/>
              </w:rPr>
            </w:pPr>
            <w:r>
              <w:rPr>
                <w:rFonts w:hint="eastAsia" w:ascii="仿宋" w:hAnsi="仿宋" w:eastAsia="仿宋"/>
                <w:bCs/>
                <w:kern w:val="0"/>
                <w:sz w:val="22"/>
                <w:szCs w:val="22"/>
              </w:rPr>
              <w:t>北京市农林科学院</w:t>
            </w:r>
          </w:p>
        </w:tc>
        <w:tc>
          <w:tcPr>
            <w:tcW w:w="992"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研究员</w:t>
            </w:r>
          </w:p>
        </w:tc>
        <w:tc>
          <w:tcPr>
            <w:tcW w:w="993"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3</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臧淑英</w:t>
            </w:r>
          </w:p>
        </w:tc>
        <w:tc>
          <w:tcPr>
            <w:tcW w:w="3969"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color w:val="000000" w:themeColor="text1"/>
                <w14:textFill>
                  <w14:solidFill>
                    <w14:schemeClr w14:val="tx1"/>
                  </w14:solidFill>
                </w14:textFill>
              </w:rPr>
              <w:t>项目主要参与人之一，负责森林经理应用服务平台模块研发方案的设计与实施，对发明点</w:t>
            </w: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有创造性贡献，参与森林灾害防控和湿地湖泊抽样监测模块研发与推广应用，取得较好社会效益。</w:t>
            </w:r>
          </w:p>
        </w:tc>
        <w:tc>
          <w:tcPr>
            <w:tcW w:w="3047"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哈尔滨师范大学</w:t>
            </w:r>
          </w:p>
        </w:tc>
        <w:tc>
          <w:tcPr>
            <w:tcW w:w="3048" w:type="dxa"/>
            <w:vAlign w:val="center"/>
          </w:tcPr>
          <w:p>
            <w:pPr>
              <w:widowControl/>
              <w:jc w:val="center"/>
              <w:rPr>
                <w:rFonts w:ascii="仿宋" w:hAnsi="仿宋" w:eastAsia="仿宋"/>
                <w:bCs/>
                <w:kern w:val="0"/>
                <w:sz w:val="22"/>
                <w:szCs w:val="22"/>
              </w:rPr>
            </w:pPr>
            <w:r>
              <w:rPr>
                <w:rFonts w:hint="eastAsia" w:ascii="仿宋" w:hAnsi="仿宋" w:eastAsia="仿宋"/>
                <w:bCs/>
                <w:kern w:val="0"/>
                <w:sz w:val="22"/>
                <w:szCs w:val="22"/>
              </w:rPr>
              <w:t>哈尔滨师范大学</w:t>
            </w:r>
          </w:p>
        </w:tc>
        <w:tc>
          <w:tcPr>
            <w:tcW w:w="992"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教授</w:t>
            </w:r>
          </w:p>
        </w:tc>
        <w:tc>
          <w:tcPr>
            <w:tcW w:w="993"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4</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邱梓轩</w:t>
            </w:r>
          </w:p>
        </w:tc>
        <w:tc>
          <w:tcPr>
            <w:tcW w:w="3969"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color w:val="000000" w:themeColor="text1"/>
                <w14:textFill>
                  <w14:solidFill>
                    <w14:schemeClr w14:val="tx1"/>
                  </w14:solidFill>
                </w14:textFill>
              </w:rPr>
              <w:t>项目主要参与人之一，主要负责森林植被观测装备的研发与测试以及中国主导树种预测预报模型的研建，对项目发明点2、3做出了突出贡献。</w:t>
            </w:r>
          </w:p>
        </w:tc>
        <w:tc>
          <w:tcPr>
            <w:tcW w:w="3047"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海南大学</w:t>
            </w:r>
          </w:p>
        </w:tc>
        <w:tc>
          <w:tcPr>
            <w:tcW w:w="3048" w:type="dxa"/>
            <w:vAlign w:val="center"/>
          </w:tcPr>
          <w:p>
            <w:pPr>
              <w:widowControl/>
              <w:jc w:val="center"/>
              <w:rPr>
                <w:rFonts w:ascii="仿宋" w:hAnsi="仿宋" w:eastAsia="仿宋"/>
                <w:bCs/>
                <w:kern w:val="0"/>
                <w:sz w:val="22"/>
                <w:szCs w:val="22"/>
              </w:rPr>
            </w:pPr>
            <w:r>
              <w:rPr>
                <w:rFonts w:hint="eastAsia" w:ascii="仿宋" w:hAnsi="仿宋" w:eastAsia="仿宋"/>
                <w:bCs/>
                <w:kern w:val="0"/>
                <w:sz w:val="22"/>
                <w:szCs w:val="22"/>
              </w:rPr>
              <w:t>海南大学</w:t>
            </w:r>
          </w:p>
        </w:tc>
        <w:tc>
          <w:tcPr>
            <w:tcW w:w="992"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讲师</w:t>
            </w:r>
          </w:p>
        </w:tc>
        <w:tc>
          <w:tcPr>
            <w:tcW w:w="993"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5</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马然</w:t>
            </w:r>
          </w:p>
        </w:tc>
        <w:tc>
          <w:tcPr>
            <w:tcW w:w="3969" w:type="dxa"/>
            <w:shd w:val="clear" w:color="auto" w:fill="auto"/>
            <w:vAlign w:val="center"/>
          </w:tcPr>
          <w:p>
            <w:pPr>
              <w:widowControl/>
              <w:rPr>
                <w:rFonts w:ascii="仿宋" w:hAnsi="仿宋" w:eastAsia="仿宋"/>
                <w:bCs/>
                <w:color w:val="000000"/>
                <w:kern w:val="0"/>
                <w:sz w:val="22"/>
                <w:szCs w:val="22"/>
              </w:rPr>
            </w:pPr>
            <w:r>
              <w:rPr>
                <w:rFonts w:ascii="仿宋" w:hAnsi="仿宋" w:eastAsia="仿宋"/>
                <w:color w:val="000000" w:themeColor="text1"/>
                <w14:textFill>
                  <w14:solidFill>
                    <w14:schemeClr w14:val="tx1"/>
                  </w14:solidFill>
                </w14:textFill>
              </w:rPr>
              <w:t>项目主要参与人之一，负责无人机森林观测系统、手持式测树超站仪等软硬件产品的研发和精度检验工作，对项目发明点2做出了突出贡献，并完成相关成果产品。</w:t>
            </w:r>
          </w:p>
        </w:tc>
        <w:tc>
          <w:tcPr>
            <w:tcW w:w="3047" w:type="dxa"/>
            <w:vAlign w:val="center"/>
          </w:tcPr>
          <w:p>
            <w:pPr>
              <w:widowControl/>
              <w:jc w:val="center"/>
              <w:rPr>
                <w:rFonts w:ascii="仿宋" w:hAnsi="仿宋" w:eastAsia="仿宋"/>
                <w:bCs/>
                <w:color w:val="000000"/>
                <w:kern w:val="0"/>
                <w:sz w:val="22"/>
                <w:szCs w:val="22"/>
              </w:rPr>
            </w:pPr>
            <w:r>
              <w:rPr>
                <w:rFonts w:ascii="仿宋" w:hAnsi="仿宋" w:eastAsia="仿宋"/>
                <w:color w:val="000000" w:themeColor="text1"/>
                <w14:textFill>
                  <w14:solidFill>
                    <w14:schemeClr w14:val="tx1"/>
                  </w14:solidFill>
                </w14:textFill>
              </w:rPr>
              <w:t>广州南方无人机技术有限公司</w:t>
            </w:r>
          </w:p>
        </w:tc>
        <w:tc>
          <w:tcPr>
            <w:tcW w:w="3048" w:type="dxa"/>
            <w:vAlign w:val="center"/>
          </w:tcPr>
          <w:p>
            <w:pPr>
              <w:widowControl/>
              <w:jc w:val="center"/>
              <w:rPr>
                <w:rFonts w:ascii="仿宋" w:hAnsi="仿宋" w:eastAsia="仿宋"/>
                <w:bCs/>
                <w:kern w:val="0"/>
                <w:sz w:val="22"/>
                <w:szCs w:val="22"/>
              </w:rPr>
            </w:pPr>
            <w:r>
              <w:rPr>
                <w:rFonts w:hint="eastAsia" w:ascii="仿宋" w:hAnsi="仿宋" w:eastAsia="仿宋"/>
                <w:bCs/>
                <w:kern w:val="0"/>
                <w:sz w:val="22"/>
                <w:szCs w:val="22"/>
              </w:rPr>
              <w:t>广州南方无人机技术有限公司</w:t>
            </w:r>
          </w:p>
        </w:tc>
        <w:tc>
          <w:tcPr>
            <w:tcW w:w="992"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工程师</w:t>
            </w:r>
          </w:p>
        </w:tc>
        <w:tc>
          <w:tcPr>
            <w:tcW w:w="993"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6</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王文治</w:t>
            </w:r>
          </w:p>
        </w:tc>
        <w:tc>
          <w:tcPr>
            <w:tcW w:w="3969"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项目主要参与人之一，主要负责森林植被观测装备的设计、研发与测试工作，对项目发明点2做出了突出贡献</w:t>
            </w:r>
          </w:p>
        </w:tc>
        <w:tc>
          <w:tcPr>
            <w:tcW w:w="3047"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亿利资源集团有限公司</w:t>
            </w:r>
          </w:p>
        </w:tc>
        <w:tc>
          <w:tcPr>
            <w:tcW w:w="3048" w:type="dxa"/>
            <w:vAlign w:val="center"/>
          </w:tcPr>
          <w:p>
            <w:pPr>
              <w:widowControl/>
              <w:jc w:val="center"/>
              <w:rPr>
                <w:rFonts w:ascii="仿宋" w:hAnsi="仿宋" w:eastAsia="仿宋"/>
                <w:bCs/>
                <w:kern w:val="0"/>
                <w:sz w:val="22"/>
                <w:szCs w:val="22"/>
              </w:rPr>
            </w:pPr>
            <w:r>
              <w:rPr>
                <w:rFonts w:hint="eastAsia" w:ascii="仿宋" w:hAnsi="仿宋" w:eastAsia="仿宋"/>
                <w:bCs/>
                <w:kern w:val="0"/>
                <w:sz w:val="22"/>
                <w:szCs w:val="22"/>
              </w:rPr>
              <w:t>亿利资源集团有限公司</w:t>
            </w:r>
          </w:p>
        </w:tc>
        <w:tc>
          <w:tcPr>
            <w:tcW w:w="992"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高级经济师</w:t>
            </w:r>
          </w:p>
        </w:tc>
        <w:tc>
          <w:tcPr>
            <w:tcW w:w="993"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无</w:t>
            </w:r>
          </w:p>
        </w:tc>
      </w:tr>
    </w:tbl>
    <w:p>
      <w:pPr>
        <w:spacing w:line="360" w:lineRule="auto"/>
        <w:rPr>
          <w:rFonts w:asciiTheme="minorEastAsia" w:hAnsiTheme="minorEastAsia" w:eastAsiaTheme="minorEastAsia"/>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3407007"/>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A3FEC"/>
    <w:rsid w:val="0D7A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2019-12-27T07:53:00Z</dcterms:created>
  <dc:creator>李鸥</dc:creator>
  <cp:lastModifiedBy>李鸥</cp:lastModifiedBy>
  <dcterms:modified xsi:type="dcterms:W3CDTF">2019-12-27T07:54:05Z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