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D0D0D"/>
          <w:sz w:val="44"/>
          <w:szCs w:val="28"/>
        </w:rPr>
      </w:pPr>
      <w:bookmarkStart w:id="0" w:name="_GoBack"/>
      <w:r>
        <w:rPr>
          <w:rFonts w:hint="eastAsia" w:ascii="宋体" w:hAnsi="宋体"/>
          <w:b/>
          <w:color w:val="0D0D0D"/>
          <w:sz w:val="44"/>
          <w:szCs w:val="28"/>
        </w:rPr>
        <w:t>2020年度国家科学技术奖项目公示</w:t>
      </w:r>
      <w:bookmarkEnd w:id="0"/>
    </w:p>
    <w:p>
      <w:pPr>
        <w:spacing w:line="440" w:lineRule="exact"/>
        <w:ind w:firstLine="482"/>
        <w:rPr>
          <w:rFonts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一、项目名称: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4"/>
          <w:szCs w:val="22"/>
        </w:rPr>
        <w:t>DIKW图谱化建模与处理技术</w:t>
      </w:r>
    </w:p>
    <w:p>
      <w:pPr>
        <w:spacing w:line="440" w:lineRule="exact"/>
        <w:ind w:firstLine="482"/>
        <w:rPr>
          <w:rFonts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二、提名者及提名等级:</w:t>
      </w:r>
    </w:p>
    <w:p>
      <w:pPr>
        <w:spacing w:line="440" w:lineRule="exact"/>
        <w:ind w:left="500" w:firstLine="500"/>
        <w:rPr>
          <w:rFonts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提名者：</w:t>
      </w:r>
      <w:r>
        <w:rPr>
          <w:rFonts w:ascii="宋体" w:hAnsi="宋体"/>
          <w:color w:val="000000"/>
          <w:sz w:val="24"/>
          <w:szCs w:val="32"/>
        </w:rPr>
        <w:t xml:space="preserve"> </w:t>
      </w:r>
      <w:r>
        <w:rPr>
          <w:rFonts w:hint="eastAsia" w:ascii="宋体" w:hAnsi="宋体"/>
          <w:color w:val="000000"/>
          <w:sz w:val="24"/>
          <w:szCs w:val="32"/>
        </w:rPr>
        <w:t>海南省</w:t>
      </w:r>
    </w:p>
    <w:p>
      <w:pPr>
        <w:spacing w:line="440" w:lineRule="exact"/>
        <w:ind w:left="500" w:firstLine="500"/>
        <w:rPr>
          <w:rFonts w:ascii="宋体" w:hAnsi="宋体"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提名等级: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宋体" w:hAnsi="宋体"/>
          <w:bCs/>
          <w:color w:val="000000"/>
          <w:sz w:val="24"/>
          <w:szCs w:val="32"/>
        </w:rPr>
        <w:t>国家技术发明奖  二等</w:t>
      </w:r>
    </w:p>
    <w:p>
      <w:pPr>
        <w:spacing w:line="440" w:lineRule="exact"/>
        <w:ind w:firstLine="482"/>
        <w:rPr>
          <w:rFonts w:ascii="宋体" w:hAns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三、主要知识产权和标准规范等目录:</w:t>
      </w:r>
    </w:p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987"/>
        <w:gridCol w:w="708"/>
        <w:gridCol w:w="1136"/>
        <w:gridCol w:w="969"/>
        <w:gridCol w:w="1013"/>
        <w:gridCol w:w="1132"/>
        <w:gridCol w:w="99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48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地区</w:t>
            </w: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0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512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35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598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448" w:type="pc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一种关联频度计算的基于数据图谱、信息图谱和知识图谱框架的语义建模方法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0394911.0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第3463154号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一种基于数据图谱、信息图谱和知识图谱的搜索优化方法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0488750.1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第3536699号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一种投入决定的安全性可定义的基于数据图谱、信息图谱和知识图谱的资源安全保护方法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0506336.9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第3536703号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面向类型化资源的价值导向的存储与计算一体化优化系统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0870573.3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第3555197号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基于数据、信息和知识三层图谱架构的图像数据目标识别方法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2018 1 0074539.X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第3556061号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段玉聪；何诗情；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面向类型化资源的自动安全态势感知、分析与报警系统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0745700.7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第3458444号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一种容错的基于图谱架构的智能语义搜索方法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0435186.7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第3475141号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价值驱动的类型化数据及其图表示的资源隐藏方法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2018 1 1169042.2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第3509962号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段玉聪；湛楼高；张欣悦；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5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04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基于数据图谱、信息图谱和知识图谱的图像信息目标识别增强方法</w:t>
            </w:r>
          </w:p>
        </w:tc>
        <w:tc>
          <w:tcPr>
            <w:tcW w:w="37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2018 1 0037199.3</w:t>
            </w:r>
          </w:p>
        </w:tc>
        <w:tc>
          <w:tcPr>
            <w:tcW w:w="512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2019年07月23日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第3463317号</w:t>
            </w: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524" w:type="pc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段玉聪；何诗情；宋正阳；靖蓉琦；姜懿芮；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面向类型化资源的物联网资源采集传输优化系统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2017 1 0746795.4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2019年07月12日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第3451769号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段玉聪；邵礼旭；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有权</w:t>
            </w:r>
          </w:p>
        </w:tc>
      </w:tr>
    </w:tbl>
    <w:p>
      <w:pPr>
        <w:spacing w:line="400" w:lineRule="exact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四、主要完成人</w:t>
      </w:r>
    </w:p>
    <w:p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段玉聪，邵礼旭，湛楼高，曹凯，李亚婷，何诗情</w:t>
      </w:r>
    </w:p>
    <w:p>
      <w:pPr>
        <w:spacing w:line="400" w:lineRule="exact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五、主要完成单位</w:t>
      </w:r>
    </w:p>
    <w:p>
      <w:pPr>
        <w:spacing w:line="400" w:lineRule="exact"/>
        <w:ind w:firstLine="480"/>
        <w:jc w:val="left"/>
        <w:rPr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海南大学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0B5D"/>
    <w:rsid w:val="4FF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2019-12-23T01:16:00Z</dcterms:created>
  <dc:creator>李鸥</dc:creator>
  <cp:lastModifiedBy>李鸥</cp:lastModifiedBy>
  <dcterms:modified xsi:type="dcterms:W3CDTF">2019-12-23T01:16:27Z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