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28"/>
          <w:szCs w:val="28"/>
        </w:rPr>
      </w:pPr>
      <w:r>
        <w:rPr>
          <w:rFonts w:hint="eastAsia" w:ascii="宋体" w:hAnsi="宋体"/>
          <w:b/>
          <w:sz w:val="28"/>
          <w:szCs w:val="28"/>
        </w:rPr>
        <w:t>附表：</w:t>
      </w:r>
      <w:r>
        <w:rPr>
          <w:rFonts w:ascii="宋体" w:hAnsi="宋体"/>
          <w:b/>
          <w:sz w:val="28"/>
          <w:szCs w:val="28"/>
        </w:rPr>
        <w:t>招生专业</w:t>
      </w:r>
    </w:p>
    <w:tbl>
      <w:tblPr>
        <w:tblStyle w:val="5"/>
        <w:tblW w:w="9703" w:type="dxa"/>
        <w:jc w:val="center"/>
        <w:tblInd w:w="0" w:type="dxa"/>
        <w:tblLayout w:type="fixed"/>
        <w:tblCellMar>
          <w:top w:w="0" w:type="dxa"/>
          <w:left w:w="108" w:type="dxa"/>
          <w:bottom w:w="0" w:type="dxa"/>
          <w:right w:w="108" w:type="dxa"/>
        </w:tblCellMar>
      </w:tblPr>
      <w:tblGrid>
        <w:gridCol w:w="692"/>
        <w:gridCol w:w="2743"/>
        <w:gridCol w:w="5212"/>
        <w:gridCol w:w="1056"/>
      </w:tblGrid>
      <w:tr>
        <w:tblPrEx>
          <w:tblLayout w:type="fixed"/>
          <w:tblCellMar>
            <w:top w:w="0" w:type="dxa"/>
            <w:left w:w="108" w:type="dxa"/>
            <w:bottom w:w="0" w:type="dxa"/>
            <w:right w:w="108" w:type="dxa"/>
          </w:tblCellMar>
        </w:tblPrEx>
        <w:trPr>
          <w:trHeight w:val="312"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bookmarkStart w:id="0" w:name="OLE_LINK1"/>
            <w:r>
              <w:rPr>
                <w:rFonts w:hint="eastAsia" w:ascii="宋体" w:hAnsi="宋体" w:cs="宋体"/>
                <w:kern w:val="0"/>
                <w:sz w:val="20"/>
                <w:szCs w:val="20"/>
              </w:rPr>
              <w:t>序号</w:t>
            </w:r>
          </w:p>
        </w:tc>
        <w:tc>
          <w:tcPr>
            <w:tcW w:w="274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学院名称</w:t>
            </w:r>
          </w:p>
        </w:tc>
        <w:tc>
          <w:tcPr>
            <w:tcW w:w="521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招生专业</w:t>
            </w:r>
          </w:p>
        </w:tc>
        <w:tc>
          <w:tcPr>
            <w:tcW w:w="10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专业限制</w:t>
            </w:r>
          </w:p>
        </w:tc>
      </w:tr>
      <w:tr>
        <w:tblPrEx>
          <w:tblLayout w:type="fixed"/>
          <w:tblCellMar>
            <w:top w:w="0" w:type="dxa"/>
            <w:left w:w="108" w:type="dxa"/>
            <w:bottom w:w="0" w:type="dxa"/>
            <w:right w:w="108" w:type="dxa"/>
          </w:tblCellMar>
        </w:tblPrEx>
        <w:trPr>
          <w:trHeight w:val="312" w:hRule="atLeast"/>
          <w:jc w:val="center"/>
        </w:trPr>
        <w:tc>
          <w:tcPr>
            <w:tcW w:w="6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74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法学院</w:t>
            </w:r>
          </w:p>
        </w:tc>
        <w:tc>
          <w:tcPr>
            <w:tcW w:w="521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法学</w:t>
            </w:r>
          </w:p>
        </w:tc>
        <w:tc>
          <w:tcPr>
            <w:tcW w:w="105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文理兼收</w:t>
            </w:r>
          </w:p>
        </w:tc>
      </w:tr>
      <w:tr>
        <w:tblPrEx>
          <w:tblLayout w:type="fixed"/>
          <w:tblCellMar>
            <w:top w:w="0" w:type="dxa"/>
            <w:left w:w="108" w:type="dxa"/>
            <w:bottom w:w="0" w:type="dxa"/>
            <w:right w:w="108" w:type="dxa"/>
          </w:tblCellMar>
        </w:tblPrEx>
        <w:trPr>
          <w:trHeight w:val="312" w:hRule="atLeast"/>
          <w:jc w:val="center"/>
        </w:trPr>
        <w:tc>
          <w:tcPr>
            <w:tcW w:w="692"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743" w:type="dxa"/>
            <w:vMerge w:val="restart"/>
            <w:tcBorders>
              <w:top w:val="nil"/>
              <w:left w:val="nil"/>
              <w:right w:val="single" w:color="auto" w:sz="4" w:space="0"/>
            </w:tcBorders>
            <w:vAlign w:val="center"/>
          </w:tcPr>
          <w:p>
            <w:pPr>
              <w:jc w:val="left"/>
              <w:rPr>
                <w:rFonts w:ascii="宋体" w:hAnsi="宋体" w:cs="宋体"/>
                <w:kern w:val="0"/>
                <w:sz w:val="20"/>
                <w:szCs w:val="20"/>
              </w:rPr>
            </w:pPr>
            <w:r>
              <w:rPr>
                <w:rFonts w:hint="eastAsia" w:ascii="宋体" w:hAnsi="宋体" w:cs="宋体"/>
                <w:kern w:val="0"/>
                <w:sz w:val="20"/>
                <w:szCs w:val="20"/>
              </w:rPr>
              <w:t>经济与管理学院</w:t>
            </w:r>
          </w:p>
        </w:tc>
        <w:tc>
          <w:tcPr>
            <w:tcW w:w="521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会计学、财务管理、工商管理、人力资源管理、市场营销、金融学、国际经济与贸易、农林经济管理</w:t>
            </w:r>
          </w:p>
        </w:tc>
        <w:tc>
          <w:tcPr>
            <w:tcW w:w="105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文理兼收</w:t>
            </w:r>
          </w:p>
        </w:tc>
      </w:tr>
      <w:tr>
        <w:tblPrEx>
          <w:tblLayout w:type="fixed"/>
          <w:tblCellMar>
            <w:top w:w="0" w:type="dxa"/>
            <w:left w:w="108" w:type="dxa"/>
            <w:bottom w:w="0" w:type="dxa"/>
            <w:right w:w="108" w:type="dxa"/>
          </w:tblCellMar>
        </w:tblPrEx>
        <w:trPr>
          <w:trHeight w:val="312" w:hRule="atLeast"/>
          <w:jc w:val="center"/>
        </w:trPr>
        <w:tc>
          <w:tcPr>
            <w:tcW w:w="692"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p>
        </w:tc>
        <w:tc>
          <w:tcPr>
            <w:tcW w:w="2743"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521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经济统计学、物流管理、信息管理与信息系统</w:t>
            </w:r>
          </w:p>
        </w:tc>
        <w:tc>
          <w:tcPr>
            <w:tcW w:w="105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理科</w:t>
            </w:r>
          </w:p>
        </w:tc>
      </w:tr>
      <w:tr>
        <w:tblPrEx>
          <w:tblLayout w:type="fixed"/>
          <w:tblCellMar>
            <w:top w:w="0" w:type="dxa"/>
            <w:left w:w="108" w:type="dxa"/>
            <w:bottom w:w="0" w:type="dxa"/>
            <w:right w:w="108" w:type="dxa"/>
          </w:tblCellMar>
        </w:tblPrEx>
        <w:trPr>
          <w:trHeight w:val="312" w:hRule="atLeast"/>
          <w:jc w:val="center"/>
        </w:trPr>
        <w:tc>
          <w:tcPr>
            <w:tcW w:w="692"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743" w:type="dxa"/>
            <w:vMerge w:val="restart"/>
            <w:tcBorders>
              <w:top w:val="nil"/>
              <w:left w:val="nil"/>
              <w:right w:val="single" w:color="auto" w:sz="4" w:space="0"/>
            </w:tcBorders>
            <w:vAlign w:val="center"/>
          </w:tcPr>
          <w:p>
            <w:pPr>
              <w:jc w:val="left"/>
              <w:rPr>
                <w:rFonts w:ascii="宋体" w:hAnsi="宋体" w:cs="宋体"/>
                <w:kern w:val="0"/>
                <w:sz w:val="20"/>
                <w:szCs w:val="20"/>
              </w:rPr>
            </w:pPr>
            <w:r>
              <w:rPr>
                <w:rFonts w:hint="eastAsia" w:ascii="宋体" w:hAnsi="宋体" w:cs="宋体"/>
                <w:kern w:val="0"/>
                <w:sz w:val="20"/>
                <w:szCs w:val="20"/>
              </w:rPr>
              <w:t>旅游学院</w:t>
            </w:r>
          </w:p>
        </w:tc>
        <w:tc>
          <w:tcPr>
            <w:tcW w:w="521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旅游管理、酒店管理、会展经济与管理</w:t>
            </w:r>
          </w:p>
        </w:tc>
        <w:tc>
          <w:tcPr>
            <w:tcW w:w="105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文理兼收</w:t>
            </w:r>
          </w:p>
        </w:tc>
      </w:tr>
      <w:tr>
        <w:tblPrEx>
          <w:tblLayout w:type="fixed"/>
          <w:tblCellMar>
            <w:top w:w="0" w:type="dxa"/>
            <w:left w:w="108" w:type="dxa"/>
            <w:bottom w:w="0" w:type="dxa"/>
            <w:right w:w="108" w:type="dxa"/>
          </w:tblCellMar>
        </w:tblPrEx>
        <w:trPr>
          <w:trHeight w:val="312" w:hRule="atLeast"/>
          <w:jc w:val="center"/>
        </w:trPr>
        <w:tc>
          <w:tcPr>
            <w:tcW w:w="692"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p>
        </w:tc>
        <w:tc>
          <w:tcPr>
            <w:tcW w:w="2743"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521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人文地理与城乡规划</w:t>
            </w:r>
          </w:p>
        </w:tc>
        <w:tc>
          <w:tcPr>
            <w:tcW w:w="105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理科</w:t>
            </w:r>
          </w:p>
        </w:tc>
      </w:tr>
      <w:tr>
        <w:tblPrEx>
          <w:tblLayout w:type="fixed"/>
          <w:tblCellMar>
            <w:top w:w="0" w:type="dxa"/>
            <w:left w:w="108" w:type="dxa"/>
            <w:bottom w:w="0" w:type="dxa"/>
            <w:right w:w="108" w:type="dxa"/>
          </w:tblCellMar>
        </w:tblPrEx>
        <w:trPr>
          <w:trHeight w:val="543" w:hRule="atLeast"/>
          <w:jc w:val="center"/>
        </w:trPr>
        <w:tc>
          <w:tcPr>
            <w:tcW w:w="692"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743" w:type="dxa"/>
            <w:vMerge w:val="restart"/>
            <w:tcBorders>
              <w:top w:val="nil"/>
              <w:left w:val="nil"/>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人文传播学院</w:t>
            </w:r>
          </w:p>
        </w:tc>
        <w:tc>
          <w:tcPr>
            <w:tcW w:w="5212" w:type="dxa"/>
            <w:tcBorders>
              <w:top w:val="nil"/>
              <w:left w:val="nil"/>
              <w:bottom w:val="single" w:color="auto" w:sz="4" w:space="0"/>
              <w:right w:val="single" w:color="auto" w:sz="4" w:space="0"/>
            </w:tcBorders>
            <w:vAlign w:val="center"/>
          </w:tcPr>
          <w:p>
            <w:pPr>
              <w:jc w:val="left"/>
              <w:rPr>
                <w:rFonts w:ascii="宋体" w:hAnsi="宋体" w:cs="宋体"/>
                <w:kern w:val="0"/>
                <w:sz w:val="20"/>
                <w:szCs w:val="20"/>
              </w:rPr>
            </w:pPr>
            <w:r>
              <w:rPr>
                <w:rFonts w:hint="eastAsia" w:ascii="宋体" w:hAnsi="宋体" w:cs="宋体"/>
                <w:kern w:val="0"/>
                <w:sz w:val="20"/>
                <w:szCs w:val="20"/>
              </w:rPr>
              <w:t>汉语言文学、汉语国际教育、传播学、广告学、</w:t>
            </w:r>
          </w:p>
        </w:tc>
        <w:tc>
          <w:tcPr>
            <w:tcW w:w="105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文科</w:t>
            </w:r>
          </w:p>
        </w:tc>
      </w:tr>
      <w:tr>
        <w:tblPrEx>
          <w:tblLayout w:type="fixed"/>
          <w:tblCellMar>
            <w:top w:w="0" w:type="dxa"/>
            <w:left w:w="108" w:type="dxa"/>
            <w:bottom w:w="0" w:type="dxa"/>
            <w:right w:w="108" w:type="dxa"/>
          </w:tblCellMar>
        </w:tblPrEx>
        <w:trPr>
          <w:trHeight w:val="696" w:hRule="atLeast"/>
          <w:jc w:val="center"/>
        </w:trPr>
        <w:tc>
          <w:tcPr>
            <w:tcW w:w="692"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p>
        </w:tc>
        <w:tc>
          <w:tcPr>
            <w:tcW w:w="2743" w:type="dxa"/>
            <w:vMerge w:val="continue"/>
            <w:tcBorders>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p>
        </w:tc>
        <w:tc>
          <w:tcPr>
            <w:tcW w:w="5212"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20"/>
                <w:szCs w:val="20"/>
              </w:rPr>
            </w:pPr>
            <w:r>
              <w:rPr>
                <w:rFonts w:hint="eastAsia" w:ascii="宋体" w:hAnsi="宋体" w:cs="宋体"/>
                <w:kern w:val="0"/>
                <w:sz w:val="20"/>
                <w:szCs w:val="20"/>
              </w:rPr>
              <w:t>戏剧影视文学（影视编导方向）</w:t>
            </w:r>
          </w:p>
          <w:p>
            <w:pPr>
              <w:jc w:val="left"/>
              <w:rPr>
                <w:rFonts w:hint="eastAsia" w:ascii="宋体" w:hAnsi="宋体" w:cs="宋体"/>
                <w:kern w:val="0"/>
                <w:sz w:val="20"/>
                <w:szCs w:val="20"/>
              </w:rPr>
            </w:pPr>
            <w:r>
              <w:rPr>
                <w:rFonts w:hint="eastAsia" w:ascii="宋体" w:hAnsi="宋体" w:cs="宋体"/>
                <w:kern w:val="0"/>
                <w:sz w:val="20"/>
                <w:szCs w:val="20"/>
              </w:rPr>
              <w:t>备注：戏剧影视文学（影视编导方向）属于艺术类专业</w:t>
            </w:r>
          </w:p>
        </w:tc>
        <w:tc>
          <w:tcPr>
            <w:tcW w:w="1056"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20"/>
                <w:szCs w:val="20"/>
              </w:rPr>
            </w:pPr>
            <w:r>
              <w:rPr>
                <w:rFonts w:hint="eastAsia" w:ascii="宋体" w:hAnsi="宋体" w:cs="宋体"/>
                <w:kern w:val="0"/>
                <w:sz w:val="20"/>
                <w:szCs w:val="20"/>
              </w:rPr>
              <w:t>文理兼收</w:t>
            </w:r>
          </w:p>
        </w:tc>
      </w:tr>
      <w:tr>
        <w:tblPrEx>
          <w:tblLayout w:type="fixed"/>
          <w:tblCellMar>
            <w:top w:w="0" w:type="dxa"/>
            <w:left w:w="108" w:type="dxa"/>
            <w:bottom w:w="0" w:type="dxa"/>
            <w:right w:w="108" w:type="dxa"/>
          </w:tblCellMar>
        </w:tblPrEx>
        <w:trPr>
          <w:trHeight w:val="312" w:hRule="atLeast"/>
          <w:jc w:val="center"/>
        </w:trPr>
        <w:tc>
          <w:tcPr>
            <w:tcW w:w="6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274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外国语学院</w:t>
            </w:r>
          </w:p>
        </w:tc>
        <w:tc>
          <w:tcPr>
            <w:tcW w:w="521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俄语、日语、商务英语、英语</w:t>
            </w:r>
          </w:p>
        </w:tc>
        <w:tc>
          <w:tcPr>
            <w:tcW w:w="105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文科</w:t>
            </w:r>
          </w:p>
        </w:tc>
      </w:tr>
      <w:tr>
        <w:tblPrEx>
          <w:tblLayout w:type="fixed"/>
          <w:tblCellMar>
            <w:top w:w="0" w:type="dxa"/>
            <w:left w:w="108" w:type="dxa"/>
            <w:bottom w:w="0" w:type="dxa"/>
            <w:right w:w="108" w:type="dxa"/>
          </w:tblCellMar>
        </w:tblPrEx>
        <w:trPr>
          <w:trHeight w:val="312" w:hRule="atLeast"/>
          <w:jc w:val="center"/>
        </w:trPr>
        <w:tc>
          <w:tcPr>
            <w:tcW w:w="692" w:type="dxa"/>
            <w:tcBorders>
              <w:top w:val="nil"/>
              <w:left w:val="single" w:color="auto" w:sz="4" w:space="0"/>
              <w:bottom w:val="thinThickSmallGap" w:color="auto" w:sz="2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2743" w:type="dxa"/>
            <w:tcBorders>
              <w:top w:val="nil"/>
              <w:left w:val="nil"/>
              <w:bottom w:val="thinThickSmallGap" w:color="auto" w:sz="2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政治与公共管理学院</w:t>
            </w:r>
          </w:p>
        </w:tc>
        <w:tc>
          <w:tcPr>
            <w:tcW w:w="5212" w:type="dxa"/>
            <w:tcBorders>
              <w:top w:val="nil"/>
              <w:left w:val="nil"/>
              <w:bottom w:val="thinThickSmallGap" w:color="auto" w:sz="2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行政管理、公共关系学、土地资源管理</w:t>
            </w:r>
          </w:p>
        </w:tc>
        <w:tc>
          <w:tcPr>
            <w:tcW w:w="1056" w:type="dxa"/>
            <w:tcBorders>
              <w:top w:val="nil"/>
              <w:left w:val="nil"/>
              <w:bottom w:val="thinThickSmallGap" w:color="auto" w:sz="2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文理兼收</w:t>
            </w:r>
          </w:p>
        </w:tc>
      </w:tr>
      <w:tr>
        <w:tblPrEx>
          <w:tblLayout w:type="fixed"/>
          <w:tblCellMar>
            <w:top w:w="0" w:type="dxa"/>
            <w:left w:w="108" w:type="dxa"/>
            <w:bottom w:w="0" w:type="dxa"/>
            <w:right w:w="108" w:type="dxa"/>
          </w:tblCellMar>
        </w:tblPrEx>
        <w:trPr>
          <w:trHeight w:val="312" w:hRule="atLeast"/>
          <w:jc w:val="center"/>
        </w:trPr>
        <w:tc>
          <w:tcPr>
            <w:tcW w:w="692" w:type="dxa"/>
            <w:tcBorders>
              <w:top w:val="thinThickSmallGap" w:color="auto" w:sz="2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2743" w:type="dxa"/>
            <w:tcBorders>
              <w:top w:val="thinThickSmallGap" w:color="auto" w:sz="24" w:space="0"/>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马克思主义学院</w:t>
            </w:r>
          </w:p>
        </w:tc>
        <w:tc>
          <w:tcPr>
            <w:tcW w:w="5212" w:type="dxa"/>
            <w:tcBorders>
              <w:top w:val="thinThickSmallGap" w:color="auto" w:sz="24" w:space="0"/>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思想政治教育</w:t>
            </w:r>
          </w:p>
        </w:tc>
        <w:tc>
          <w:tcPr>
            <w:tcW w:w="1056" w:type="dxa"/>
            <w:tcBorders>
              <w:top w:val="thinThickSmallGap" w:color="auto" w:sz="2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文科</w:t>
            </w:r>
          </w:p>
        </w:tc>
      </w:tr>
      <w:tr>
        <w:tblPrEx>
          <w:tblLayout w:type="fixed"/>
          <w:tblCellMar>
            <w:top w:w="0" w:type="dxa"/>
            <w:left w:w="108" w:type="dxa"/>
            <w:bottom w:w="0" w:type="dxa"/>
            <w:right w:w="108" w:type="dxa"/>
          </w:tblCellMar>
        </w:tblPrEx>
        <w:trPr>
          <w:trHeight w:val="312" w:hRule="atLeast"/>
          <w:jc w:val="center"/>
        </w:trPr>
        <w:tc>
          <w:tcPr>
            <w:tcW w:w="6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74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材料与化工学院</w:t>
            </w:r>
          </w:p>
        </w:tc>
        <w:tc>
          <w:tcPr>
            <w:tcW w:w="521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材料科学与工程、高分子材料与工程、化学工程与工艺、应用化学、生物工程</w:t>
            </w:r>
          </w:p>
        </w:tc>
        <w:tc>
          <w:tcPr>
            <w:tcW w:w="105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理科</w:t>
            </w:r>
          </w:p>
        </w:tc>
      </w:tr>
      <w:tr>
        <w:tblPrEx>
          <w:tblLayout w:type="fixed"/>
          <w:tblCellMar>
            <w:top w:w="0" w:type="dxa"/>
            <w:left w:w="108" w:type="dxa"/>
            <w:bottom w:w="0" w:type="dxa"/>
            <w:right w:w="108" w:type="dxa"/>
          </w:tblCellMar>
        </w:tblPrEx>
        <w:trPr>
          <w:trHeight w:val="312" w:hRule="atLeast"/>
          <w:jc w:val="center"/>
        </w:trPr>
        <w:tc>
          <w:tcPr>
            <w:tcW w:w="6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274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海洋学院</w:t>
            </w:r>
          </w:p>
        </w:tc>
        <w:tc>
          <w:tcPr>
            <w:tcW w:w="521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海洋资源与环境、海洋科学、药学、制药工程、水产养殖学</w:t>
            </w:r>
          </w:p>
        </w:tc>
        <w:tc>
          <w:tcPr>
            <w:tcW w:w="105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理科</w:t>
            </w:r>
          </w:p>
        </w:tc>
      </w:tr>
      <w:tr>
        <w:tblPrEx>
          <w:tblLayout w:type="fixed"/>
          <w:tblCellMar>
            <w:top w:w="0" w:type="dxa"/>
            <w:left w:w="108" w:type="dxa"/>
            <w:bottom w:w="0" w:type="dxa"/>
            <w:right w:w="108" w:type="dxa"/>
          </w:tblCellMar>
        </w:tblPrEx>
        <w:trPr>
          <w:trHeight w:val="312" w:hRule="atLeast"/>
          <w:jc w:val="center"/>
        </w:trPr>
        <w:tc>
          <w:tcPr>
            <w:tcW w:w="6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274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食品学院</w:t>
            </w:r>
          </w:p>
        </w:tc>
        <w:tc>
          <w:tcPr>
            <w:tcW w:w="521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食品科学与工程、食品质量与安全</w:t>
            </w:r>
          </w:p>
        </w:tc>
        <w:tc>
          <w:tcPr>
            <w:tcW w:w="105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理科</w:t>
            </w:r>
          </w:p>
        </w:tc>
      </w:tr>
      <w:tr>
        <w:tblPrEx>
          <w:tblLayout w:type="fixed"/>
          <w:tblCellMar>
            <w:top w:w="0" w:type="dxa"/>
            <w:left w:w="108" w:type="dxa"/>
            <w:bottom w:w="0" w:type="dxa"/>
            <w:right w:w="108" w:type="dxa"/>
          </w:tblCellMar>
        </w:tblPrEx>
        <w:trPr>
          <w:trHeight w:val="312" w:hRule="atLeast"/>
          <w:jc w:val="center"/>
        </w:trPr>
        <w:tc>
          <w:tcPr>
            <w:tcW w:w="6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274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土木建筑工程学院</w:t>
            </w:r>
          </w:p>
        </w:tc>
        <w:tc>
          <w:tcPr>
            <w:tcW w:w="521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工程管理、海洋工程与技术、土木工程、建筑学（学制5年）</w:t>
            </w:r>
          </w:p>
        </w:tc>
        <w:tc>
          <w:tcPr>
            <w:tcW w:w="105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理科</w:t>
            </w:r>
          </w:p>
        </w:tc>
      </w:tr>
      <w:tr>
        <w:tblPrEx>
          <w:tblLayout w:type="fixed"/>
          <w:tblCellMar>
            <w:top w:w="0" w:type="dxa"/>
            <w:left w:w="108" w:type="dxa"/>
            <w:bottom w:w="0" w:type="dxa"/>
            <w:right w:w="108" w:type="dxa"/>
          </w:tblCellMar>
        </w:tblPrEx>
        <w:trPr>
          <w:trHeight w:val="312" w:hRule="atLeast"/>
          <w:jc w:val="center"/>
        </w:trPr>
        <w:tc>
          <w:tcPr>
            <w:tcW w:w="6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274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信息科学技术学院</w:t>
            </w:r>
          </w:p>
        </w:tc>
        <w:tc>
          <w:tcPr>
            <w:tcW w:w="521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电子信息工程、通信工程、计算机科学与技术、信息安全、网络工程、软件工程、软件工程（NIIT）、数学与应用数学、信息与计算科学</w:t>
            </w:r>
          </w:p>
        </w:tc>
        <w:tc>
          <w:tcPr>
            <w:tcW w:w="105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理科</w:t>
            </w:r>
          </w:p>
        </w:tc>
      </w:tr>
      <w:tr>
        <w:tblPrEx>
          <w:tblLayout w:type="fixed"/>
          <w:tblCellMar>
            <w:top w:w="0" w:type="dxa"/>
            <w:left w:w="108" w:type="dxa"/>
            <w:bottom w:w="0" w:type="dxa"/>
            <w:right w:w="108" w:type="dxa"/>
          </w:tblCellMar>
        </w:tblPrEx>
        <w:trPr>
          <w:trHeight w:val="312" w:hRule="atLeast"/>
          <w:jc w:val="center"/>
        </w:trPr>
        <w:tc>
          <w:tcPr>
            <w:tcW w:w="6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274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机电工程学院</w:t>
            </w:r>
          </w:p>
        </w:tc>
        <w:tc>
          <w:tcPr>
            <w:tcW w:w="521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电气工程及其自动化、机械设计制造及其自动化、机械电子工程、车辆工程、交通运输、自动化、农业机械化及其自动化</w:t>
            </w:r>
          </w:p>
        </w:tc>
        <w:tc>
          <w:tcPr>
            <w:tcW w:w="105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理科</w:t>
            </w:r>
          </w:p>
        </w:tc>
      </w:tr>
      <w:tr>
        <w:tblPrEx>
          <w:tblLayout w:type="fixed"/>
          <w:tblCellMar>
            <w:top w:w="0" w:type="dxa"/>
            <w:left w:w="108" w:type="dxa"/>
            <w:bottom w:w="0" w:type="dxa"/>
            <w:right w:w="108" w:type="dxa"/>
          </w:tblCellMar>
        </w:tblPrEx>
        <w:trPr>
          <w:trHeight w:val="312" w:hRule="atLeast"/>
          <w:jc w:val="center"/>
        </w:trPr>
        <w:tc>
          <w:tcPr>
            <w:tcW w:w="6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274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热带农林学院（海甸校区）</w:t>
            </w:r>
          </w:p>
        </w:tc>
        <w:tc>
          <w:tcPr>
            <w:tcW w:w="5212"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生物科学、生物技术、环境科学、风景园林、园林、设施农业科学与工程、动物医学、动物科学、园艺、植物保护、农业资源与环境、农学</w:t>
            </w:r>
          </w:p>
        </w:tc>
        <w:tc>
          <w:tcPr>
            <w:tcW w:w="105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理科</w:t>
            </w:r>
          </w:p>
        </w:tc>
      </w:tr>
      <w:tr>
        <w:tblPrEx>
          <w:tblLayout w:type="fixed"/>
          <w:tblCellMar>
            <w:top w:w="0" w:type="dxa"/>
            <w:left w:w="108" w:type="dxa"/>
            <w:bottom w:w="0" w:type="dxa"/>
            <w:right w:w="108" w:type="dxa"/>
          </w:tblCellMar>
        </w:tblPrEx>
        <w:trPr>
          <w:trHeight w:val="312" w:hRule="atLeast"/>
          <w:jc w:val="center"/>
        </w:trPr>
        <w:tc>
          <w:tcPr>
            <w:tcW w:w="6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274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艺术学院</w:t>
            </w:r>
          </w:p>
        </w:tc>
        <w:tc>
          <w:tcPr>
            <w:tcW w:w="5212"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视觉传达与设计、环境设计、服装与服饰设计、绘画、音乐表演（声乐方向）、音乐表演（器乐方向）、舞蹈编导</w:t>
            </w:r>
          </w:p>
          <w:p>
            <w:pPr>
              <w:widowControl/>
              <w:jc w:val="left"/>
              <w:rPr>
                <w:rFonts w:hint="eastAsia" w:ascii="宋体" w:hAnsi="宋体" w:cs="宋体"/>
                <w:kern w:val="0"/>
                <w:sz w:val="20"/>
                <w:szCs w:val="20"/>
              </w:rPr>
            </w:pPr>
            <w:r>
              <w:rPr>
                <w:rFonts w:hint="eastAsia" w:ascii="宋体" w:hAnsi="宋体" w:cs="宋体"/>
                <w:kern w:val="0"/>
                <w:sz w:val="20"/>
                <w:szCs w:val="20"/>
              </w:rPr>
              <w:t>备注：以上专业均为艺术类专业。</w:t>
            </w:r>
          </w:p>
        </w:tc>
        <w:tc>
          <w:tcPr>
            <w:tcW w:w="105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文理兼收</w:t>
            </w:r>
          </w:p>
        </w:tc>
      </w:tr>
      <w:tr>
        <w:tblPrEx>
          <w:tblLayout w:type="fixed"/>
          <w:tblCellMar>
            <w:top w:w="0" w:type="dxa"/>
            <w:left w:w="108" w:type="dxa"/>
            <w:bottom w:w="0" w:type="dxa"/>
            <w:right w:w="108" w:type="dxa"/>
          </w:tblCellMar>
        </w:tblPrEx>
        <w:trPr>
          <w:trHeight w:val="312" w:hRule="atLeast"/>
          <w:jc w:val="center"/>
        </w:trPr>
        <w:tc>
          <w:tcPr>
            <w:tcW w:w="6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274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旅游学院（与爱尔兰都柏林理工学院合作办学）</w:t>
            </w:r>
          </w:p>
        </w:tc>
        <w:tc>
          <w:tcPr>
            <w:tcW w:w="5212"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旅游管理类（会展经济与管理）（中外合作办学）</w:t>
            </w:r>
          </w:p>
        </w:tc>
        <w:tc>
          <w:tcPr>
            <w:tcW w:w="105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文理兼收</w:t>
            </w:r>
          </w:p>
        </w:tc>
      </w:tr>
      <w:tr>
        <w:tblPrEx>
          <w:tblLayout w:type="fixed"/>
          <w:tblCellMar>
            <w:top w:w="0" w:type="dxa"/>
            <w:left w:w="108" w:type="dxa"/>
            <w:bottom w:w="0" w:type="dxa"/>
            <w:right w:w="108" w:type="dxa"/>
          </w:tblCellMar>
        </w:tblPrEx>
        <w:trPr>
          <w:trHeight w:val="312" w:hRule="atLeast"/>
          <w:jc w:val="center"/>
        </w:trPr>
        <w:tc>
          <w:tcPr>
            <w:tcW w:w="6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274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国际旅游学院（与美国亚利桑那州立大学合作办学）</w:t>
            </w:r>
          </w:p>
        </w:tc>
        <w:tc>
          <w:tcPr>
            <w:tcW w:w="5212"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旅游管理类（酒店管理）（中外合作办学）、公共管理类（行政管理）（中外合作办学）、地理科学类（人文地理与城乡规划）（中外合作办学）</w:t>
            </w:r>
          </w:p>
        </w:tc>
        <w:tc>
          <w:tcPr>
            <w:tcW w:w="105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文理兼收</w:t>
            </w:r>
          </w:p>
        </w:tc>
      </w:tr>
      <w:bookmarkEnd w:id="0"/>
    </w:tbl>
    <w:p>
      <w:pPr>
        <w:ind w:firstLine="420" w:firstLineChars="200"/>
        <w:rPr>
          <w:rFonts w:hint="eastAsia" w:ascii="宋体" w:hAnsi="宋体"/>
          <w:sz w:val="28"/>
          <w:szCs w:val="28"/>
        </w:rPr>
      </w:pPr>
      <w:r>
        <w:rPr>
          <w:rFonts w:ascii="宋体" w:hAnsi="宋体"/>
          <w:szCs w:val="21"/>
        </w:rPr>
        <w:t>说明：</w:t>
      </w:r>
      <w:r>
        <w:rPr>
          <w:rFonts w:hint="eastAsia" w:ascii="宋体" w:hAnsi="宋体"/>
          <w:szCs w:val="21"/>
        </w:rPr>
        <w:t>1.以上专业除建筑学专业学制为5年，其余专业学制均为4年；2.序号1-6学院</w:t>
      </w:r>
      <w:r>
        <w:rPr>
          <w:rFonts w:ascii="宋体" w:hAnsi="宋体"/>
          <w:szCs w:val="21"/>
        </w:rPr>
        <w:t>专业一年级在城西校区</w:t>
      </w:r>
      <w:r>
        <w:rPr>
          <w:rFonts w:hint="eastAsia" w:ascii="宋体" w:hAnsi="宋体"/>
          <w:szCs w:val="21"/>
        </w:rPr>
        <w:t>（海口市学院路4号）</w:t>
      </w:r>
      <w:r>
        <w:rPr>
          <w:rFonts w:ascii="宋体" w:hAnsi="宋体"/>
          <w:szCs w:val="21"/>
        </w:rPr>
        <w:t>就读，</w:t>
      </w:r>
      <w:r>
        <w:rPr>
          <w:rFonts w:hint="eastAsia" w:ascii="宋体" w:hAnsi="宋体"/>
          <w:szCs w:val="21"/>
        </w:rPr>
        <w:t>二年级开始</w:t>
      </w:r>
      <w:r>
        <w:rPr>
          <w:rFonts w:ascii="宋体" w:hAnsi="宋体"/>
          <w:szCs w:val="21"/>
        </w:rPr>
        <w:t>在海甸主校区就读</w:t>
      </w:r>
      <w:r>
        <w:rPr>
          <w:rFonts w:hint="eastAsia" w:ascii="宋体" w:hAnsi="宋体"/>
          <w:szCs w:val="21"/>
        </w:rPr>
        <w:t>；序号7-17学院专业在</w:t>
      </w:r>
      <w:r>
        <w:rPr>
          <w:rFonts w:ascii="宋体" w:hAnsi="宋体"/>
          <w:szCs w:val="21"/>
        </w:rPr>
        <w:t>海甸主校区</w:t>
      </w:r>
      <w:r>
        <w:rPr>
          <w:rFonts w:hint="eastAsia" w:ascii="宋体" w:hAnsi="宋体"/>
          <w:szCs w:val="21"/>
        </w:rPr>
        <w:t>就读；3.建筑学专业要求报考考生具备一定绘画基础，新生入学后需测试绘画水平，测试不合格者转入土木工程专业学习；4.</w:t>
      </w:r>
      <w:r>
        <w:rPr>
          <w:rFonts w:hint="eastAsia" w:ascii="宋体" w:hAnsi="宋体"/>
          <w:b/>
          <w:szCs w:val="21"/>
        </w:rPr>
        <w:t>填报艺术类专业需按照学校时间要求提交作品参加学校术科考核并合格；</w:t>
      </w:r>
      <w:r>
        <w:rPr>
          <w:rFonts w:hint="eastAsia" w:ascii="宋体" w:hAnsi="宋体"/>
          <w:szCs w:val="21"/>
        </w:rPr>
        <w:t>5.</w:t>
      </w:r>
      <w:r>
        <w:rPr>
          <w:rFonts w:ascii="宋体" w:hAnsi="宋体"/>
          <w:szCs w:val="21"/>
        </w:rPr>
        <w:t>详细专业介绍可登陆</w:t>
      </w:r>
      <w:r>
        <w:rPr>
          <w:rFonts w:hint="eastAsia" w:ascii="宋体" w:hAnsi="宋体"/>
          <w:szCs w:val="21"/>
        </w:rPr>
        <w:t>海南大学</w:t>
      </w:r>
      <w:r>
        <w:rPr>
          <w:rFonts w:ascii="宋体" w:hAnsi="宋体"/>
          <w:szCs w:val="21"/>
        </w:rPr>
        <w:t>招生信息网查询（http://bkzs.hainu.edu.cn</w:t>
      </w:r>
      <w:r>
        <w:rPr>
          <w:rFonts w:hint="eastAsia" w:ascii="宋体" w:hAnsi="宋体"/>
          <w:szCs w:val="21"/>
        </w:rPr>
        <w:t>）。</w:t>
      </w:r>
    </w:p>
    <w:p>
      <w:bookmarkStart w:id="1" w:name="_GoBack"/>
      <w:bookmarkEnd w:id="1"/>
    </w:p>
    <w:sectPr>
      <w:footerReference r:id="rId3" w:type="default"/>
      <w:footerReference r:id="rId4" w:type="even"/>
      <w:pgSz w:w="11906" w:h="16838"/>
      <w:pgMar w:top="1134" w:right="1418" w:bottom="851" w:left="1418"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
      </w:rPr>
    </w:pPr>
    <w:r>
      <w:rPr>
        <w:rStyle w:val="4"/>
      </w:rPr>
      <w:fldChar w:fldCharType="begin"/>
    </w:r>
    <w:r>
      <w:rPr>
        <w:rStyle w:val="4"/>
      </w:rPr>
      <w:instrText xml:space="preserve">PAGE  </w:instrText>
    </w:r>
    <w:r>
      <w:rPr>
        <w:rStyle w:val="4"/>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62B74"/>
    <w:rsid w:val="67E62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2018-11-27T01:40:00Z</dcterms:created>
  <dc:creator>晓砂</dc:creator>
  <cp:lastModifiedBy>晓砂</cp:lastModifiedBy>
  <dcterms:modified xsi:type="dcterms:W3CDTF">2018-11-27T01:40:59Z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